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Communiqué de presse</w:t>
      </w:r>
    </w:p>
    <w:p w:rsidR="00000000" w:rsidDel="00000000" w:rsidP="00000000" w:rsidRDefault="00000000" w:rsidRPr="00000000" w14:paraId="00000002">
      <w:pPr>
        <w:pStyle w:val="Heading1"/>
        <w:spacing w:after="240" w:lineRule="auto"/>
        <w:rPr/>
      </w:pPr>
      <w:r w:rsidDel="00000000" w:rsidR="00000000" w:rsidRPr="00000000">
        <w:rPr>
          <w:rtl w:val="0"/>
        </w:rPr>
        <w:t xml:space="preserve">Evo XD pour le Maroc</w:t>
      </w:r>
    </w:p>
    <w:p w:rsidR="00000000" w:rsidDel="00000000" w:rsidP="00000000" w:rsidRDefault="00000000" w:rsidRPr="00000000" w14:paraId="00000003">
      <w:pPr>
        <w:pStyle w:val="Subtitle"/>
        <w:spacing w:after="240" w:lineRule="auto"/>
        <w:rPr/>
      </w:pPr>
      <w:r w:rsidDel="00000000" w:rsidR="00000000" w:rsidRPr="00000000">
        <w:rPr>
          <w:rtl w:val="0"/>
        </w:rPr>
        <w:t xml:space="preserve">Multisac SA investit dans une nouvelle technologie flexo de Koenig &amp; Bauer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Impression flexo, un marché en pleine croissance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 machines hautement efficaces et d’une excellente qualité</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Une Evo XD 8 ultramoderne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pPr>
      <w:bookmarkStart w:colFirst="0" w:colLast="0" w:name="_heading=h.gjdgxs" w:id="0"/>
      <w:bookmarkEnd w:id="0"/>
      <w:r w:rsidDel="00000000" w:rsidR="00000000" w:rsidRPr="00000000">
        <w:rPr>
          <w:rtl w:val="0"/>
        </w:rPr>
        <w:t xml:space="preserve">Wurtzbourg, 25.05.2021</w:t>
        <w:br w:type="textWrapping"/>
        <w:t xml:space="preserve">Implantée à proximité de Casablanca au Maroc, Multisac SA est une jeune entreprise en pleine croissance, spécialisée dans la production d’emballages souples, qui jouit d’une excellente réputation auprès de ses clients. L’entreprise a donc décidé d’accroître ses capacités de production avec une nouvelle Evo XD de Koenig &amp; Bauer. Mehdi Iraqi, Directeur Général de Mutlisac SA : « Nous sommes convaincus qu’avec Koenig &amp; Bauer nous avons trouvé un très bon partenaire pour répondre à nos exigences élevées. Avec la technologie de pointe de l’Evo XD nous allons fixer de nouvelles normes d’excellence dans le secteur de l’emballage. » Créé en 2006, Multisac SA est devenu une des entreprises leaders en Afrique du Nord. Multisac SA produit dans un environnement moderne des emballages et des matières souples. Chaque jour, près d’un million d’emballages souples sont produits dans l’usine et exportés à présent dans 21 pays. Plus de 700 salariés œuvrent pour satisfaire les clients sur toutes les étapes du processus, de l’idée jusqu’au produit fini. « La collaboration entre les deux entreprises s’est déroulée avec beaucoup de professionnalisme et en toute confiance. Multisac garantie à ses clients une excellente qualité et aucun retard – et c’est ce que nous pouvons assurer grâce à l’Evo XD », explique Stefano Paiano, Directeur commercial régional de Koenig &amp; Bauer Flexotecnica. Dans certaines régions et dans certains secteurs l’économie est en plein boom. Grâce à la technologie moderne de Koenig &amp; Bauer, l’entreprise espère avoir un avantage concurrentiel avec sa nouvelle machine sur le marché des emballages. « Nous sommes sur une très bonne voie avec nos machines. Des clients du monde entier apprécient notre technologie, la qualité des produits et notre professionnalisme », explique Luigi Magliocchi, Directeur Général de Koenig &amp; Bauer Flexotecnica.    </w:t>
      </w:r>
    </w:p>
    <w:p w:rsidR="00000000" w:rsidDel="00000000" w:rsidP="00000000" w:rsidRDefault="00000000" w:rsidRPr="00000000" w14:paraId="0000000A">
      <w:pPr>
        <w:pStyle w:val="Heading3"/>
        <w:rPr>
          <w:color w:val="000000"/>
        </w:rPr>
      </w:pPr>
      <w:r w:rsidDel="00000000" w:rsidR="00000000" w:rsidRPr="00000000">
        <w:rPr>
          <w:rtl w:val="0"/>
        </w:rPr>
      </w:r>
    </w:p>
    <w:p w:rsidR="00000000" w:rsidDel="00000000" w:rsidP="00000000" w:rsidRDefault="00000000" w:rsidRPr="00000000" w14:paraId="0000000B">
      <w:pPr>
        <w:pStyle w:val="Heading3"/>
        <w:rPr>
          <w:color w:val="000000"/>
        </w:rPr>
      </w:pPr>
      <w:r w:rsidDel="00000000" w:rsidR="00000000" w:rsidRPr="00000000">
        <w:rPr>
          <w:color w:val="000000"/>
          <w:rtl w:val="0"/>
        </w:rPr>
        <w:t xml:space="preserve">Nouvelle technologie pour l’Evo XD</w:t>
      </w:r>
    </w:p>
    <w:p w:rsidR="00000000" w:rsidDel="00000000" w:rsidP="00000000" w:rsidRDefault="00000000" w:rsidRPr="00000000" w14:paraId="0000000C">
      <w:pPr>
        <w:spacing w:after="240" w:lineRule="auto"/>
        <w:rPr/>
      </w:pPr>
      <w:r w:rsidDel="00000000" w:rsidR="00000000" w:rsidRPr="00000000">
        <w:rPr>
          <w:rtl w:val="0"/>
        </w:rPr>
        <w:t xml:space="preserve">La rotative flexo CI de la série Evo XD qui a déjà fait ses preuves est conçue pour l’utilisation d’encres à base de solvants et/ou d’eau sur différents supports, comme des films p</w:t>
      </w:r>
      <w:r w:rsidDel="00000000" w:rsidR="00000000" w:rsidRPr="00000000">
        <w:rPr>
          <w:color w:val="000000"/>
          <w:rtl w:val="0"/>
        </w:rPr>
        <w:t xml:space="preserve">lastiques, des supports ultrafins et sensibles dit PEBD, des </w:t>
      </w:r>
      <w:r w:rsidDel="00000000" w:rsidR="00000000" w:rsidRPr="00000000">
        <w:rPr>
          <w:rtl w:val="0"/>
        </w:rPr>
        <w:t xml:space="preserve">supports couchés ou du papier. La rotative flexo CI possède une laize de 1320 mm et une coupe de 370 à 1000 mm. Parmi les prouesses techniques de cette machine on peut mentionner le système de ventilation hautement efficace et économe en énergie au sein du Tunnel de séchage, et le système de mise en pression automatique AIF qui ne nécessite aucune encre pendant le réglage. Le réglage intuitif du repérage REGI_Touch permet de diminuer la gâche au démarrage. Tous les automatismes et fonctionnalités importants sont intégrés au nouvel écran tactile et facilitent le travail de l’opérateur. En termes d’automatisation pour des changements de travail rapides, l’Evo XD est à la pointe de la technologie. En fonction des supports, la machine peut atteindre des vitesses de production pouvant aller jusqu’à 500m/min. </w:t>
      </w:r>
    </w:p>
    <w:p w:rsidR="00000000" w:rsidDel="00000000" w:rsidP="00000000" w:rsidRDefault="00000000" w:rsidRPr="00000000" w14:paraId="0000000D">
      <w:pPr>
        <w:pStyle w:val="Heading4"/>
        <w:rPr/>
      </w:pPr>
      <w:r w:rsidDel="00000000" w:rsidR="00000000" w:rsidRPr="00000000">
        <w:rPr>
          <w:rtl w:val="0"/>
        </w:rPr>
        <w:t xml:space="preserve">Photo 1 :</w:t>
      </w:r>
    </w:p>
    <w:p w:rsidR="00000000" w:rsidDel="00000000" w:rsidP="00000000" w:rsidRDefault="00000000" w:rsidRPr="00000000" w14:paraId="0000000E">
      <w:pPr>
        <w:spacing w:after="240" w:lineRule="auto"/>
        <w:rPr/>
      </w:pPr>
      <w:r w:rsidDel="00000000" w:rsidR="00000000" w:rsidRPr="00000000">
        <w:rPr>
          <w:rtl w:val="0"/>
        </w:rPr>
        <w:t xml:space="preserve">Juste après la signature du contrat (de g. à d.) : Taha Hilali, Consultant externe pour Multisac; Najib Moumni, Koenig &amp; Bauer (FR), Mehdi Iraqi, Directeur Général de Multisac; Stefano Paiano, Directeur régional des ventes de Koenig &amp; Bauer Flexotecnica                                                                             *La photo a été prise avant la pandémie de Covid-19</w:t>
      </w:r>
    </w:p>
    <w:p w:rsidR="00000000" w:rsidDel="00000000" w:rsidP="00000000" w:rsidRDefault="00000000" w:rsidRPr="00000000" w14:paraId="0000000F">
      <w:pPr>
        <w:spacing w:after="240" w:lineRule="auto"/>
        <w:rPr/>
      </w:pPr>
      <w:r w:rsidDel="00000000" w:rsidR="00000000" w:rsidRPr="00000000">
        <w:rPr>
          <w:b w:val="1"/>
          <w:rtl w:val="0"/>
        </w:rPr>
        <w:t xml:space="preserve">Photo 2 :</w:t>
      </w:r>
      <w:r w:rsidDel="00000000" w:rsidR="00000000" w:rsidRPr="00000000">
        <w:rPr>
          <w:b w:val="0"/>
          <w:rtl w:val="0"/>
        </w:rPr>
        <w:t xml:space="preserve">                                                                                                                                                    la nouvelle Evo XD pour Multisac SA</w:t>
      </w: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b w:val="1"/>
          <w:rtl w:val="0"/>
        </w:rPr>
        <w:t xml:space="preserve">Contact pour la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2">
      <w:pPr>
        <w:pStyle w:val="Heading4"/>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Fonts w:ascii="Arial" w:cs="Arial" w:eastAsia="Arial" w:hAnsi="Arial"/>
          <w:b w:val="1"/>
          <w:color w:val="000000"/>
          <w:sz w:val="20"/>
          <w:szCs w:val="20"/>
          <w:rtl w:val="0"/>
        </w:rPr>
        <w:t xml:space="preserve">À propos de Koenig &amp; Bauer</w:t>
      </w:r>
      <w:r w:rsidDel="00000000" w:rsidR="00000000" w:rsidRPr="00000000">
        <w:rPr>
          <w:rtl w:val="0"/>
        </w:rPr>
        <w:br w:type="textWrapping"/>
        <w:t xml:space="preserve">Koenig &amp; Bauer est le plus ancien constructeur de machines à imprimer au monde et aussi celui qui propose la gamme de produits la plus étendue. Depuis plus de 200 ans, il fournit aux imprimeurs une technologie innovante, des procédés d’une extrême précision ainsi qu’un large éventail de services. Koenig &amp; Bauer est présent – et bien souvent numéro un – dans la plupart des procédés : offset et flexo feuilles et bobine, offset sans eau, taille-douce, impression simultanée et sérigraphie ou jet d’encre numérique pour une multitude d’applications aussi variées que l'impression de billets de banque ou d’emballage carton, film plastique, métal et verre, l'impression de livres, magazines et journaux en passant par la publicité sous toutes ses formes, la PLV, et le marquage. En 2020, les 5.593 collaboratrices et collaborateurs hautement qualifiés ont généré un chiffre d’affaires annuel d’1,029 milliard d’euros. </w:t>
      </w:r>
    </w:p>
    <w:p w:rsidR="00000000" w:rsidDel="00000000" w:rsidP="00000000" w:rsidRDefault="00000000" w:rsidRPr="00000000" w14:paraId="00000015">
      <w:pPr>
        <w:spacing w:after="240" w:lineRule="auto"/>
        <w:rPr/>
      </w:pPr>
      <w:r w:rsidDel="00000000" w:rsidR="00000000" w:rsidRPr="00000000">
        <w:rPr>
          <w:rtl w:val="0"/>
        </w:rPr>
        <w:t xml:space="preserve">Pour plus d'informations, consulter </w:t>
      </w:r>
      <w:hyperlink r:id="rId8">
        <w:r w:rsidDel="00000000" w:rsidR="00000000" w:rsidRPr="00000000">
          <w:rPr>
            <w:color w:val="f02d32"/>
            <w:u w:val="non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Evo XD pour le Maroc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lang w:val="fr-FR"/>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rPr>
      <w:lang w:val="en-US"/>
    </w:r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Mentionnonrsolue1" w:customStyle="1">
    <w:name w:val="Mention non résolue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7M/f1hsddpKBt5JdRieslw61Kw==">AMUW2mUV7w58yuSEGrJlk538MAkJRdg9s22gjarKn/YGeqIhtG0qjCojCYoIY6xEQ4qqI2S03xFQS6mqDbnTW61+M7DvkD0HgwKyUzMCryJpnDtNalyK5Z8ho7TYH5iyK/+F6uq9wVAM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2021-05-11T06:49:00Z</dcterms:created>
  <dc:creator>Bausenwein, Linda (ZM)</dc:creator>
</cp:coreProperties>
</file>